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34" w:rsidRPr="00490655" w:rsidRDefault="00AE0F34" w:rsidP="00AE0F34">
      <w:pPr>
        <w:pStyle w:val="Texto"/>
        <w:ind w:firstLine="0"/>
        <w:jc w:val="center"/>
        <w:rPr>
          <w:b/>
          <w:smallCaps/>
          <w:szCs w:val="18"/>
          <w:lang w:val="es-MX"/>
        </w:rPr>
      </w:pPr>
      <w:bookmarkStart w:id="0" w:name="_GoBack"/>
      <w:bookmarkEnd w:id="0"/>
      <w:r w:rsidRPr="00490655">
        <w:rPr>
          <w:b/>
          <w:smallCaps/>
          <w:szCs w:val="18"/>
          <w:lang w:val="es-MX"/>
        </w:rPr>
        <w:t>C) Estado de Variación en la Hacienda Pública</w:t>
      </w:r>
    </w:p>
    <w:p w:rsidR="00AE0F34" w:rsidRPr="00C057D4" w:rsidRDefault="00AE0F34" w:rsidP="00AE0F34">
      <w:pPr>
        <w:pStyle w:val="Texto"/>
        <w:ind w:firstLine="0"/>
        <w:jc w:val="right"/>
        <w:rPr>
          <w:b/>
          <w:smallCaps/>
          <w:szCs w:val="18"/>
          <w:lang w:val="es-MX"/>
        </w:rPr>
      </w:pPr>
      <w:r w:rsidRPr="00C057D4">
        <w:rPr>
          <w:rFonts w:eastAsia="MS Mincho"/>
          <w:i/>
          <w:iCs/>
          <w:color w:val="0000FF"/>
          <w:sz w:val="16"/>
          <w:szCs w:val="16"/>
        </w:rPr>
        <w:t xml:space="preserve">Inciso reformado DOF </w:t>
      </w:r>
      <w:r w:rsidR="00C057D4">
        <w:rPr>
          <w:rFonts w:eastAsia="MS Mincho"/>
          <w:i/>
          <w:iCs/>
          <w:color w:val="0000FF"/>
          <w:sz w:val="16"/>
          <w:szCs w:val="16"/>
        </w:rPr>
        <w:t>27</w:t>
      </w:r>
      <w:r w:rsidRPr="00C057D4">
        <w:rPr>
          <w:rFonts w:eastAsia="MS Mincho"/>
          <w:i/>
          <w:iCs/>
          <w:color w:val="0000FF"/>
          <w:sz w:val="16"/>
          <w:szCs w:val="16"/>
        </w:rPr>
        <w:t>-12-2017</w:t>
      </w:r>
    </w:p>
    <w:p w:rsidR="00AE0F34" w:rsidRPr="00C057D4" w:rsidRDefault="00AE0F34" w:rsidP="00AE0F34">
      <w:pPr>
        <w:pStyle w:val="Texto"/>
        <w:spacing w:before="240" w:after="200"/>
        <w:ind w:firstLine="0"/>
        <w:jc w:val="center"/>
        <w:rPr>
          <w:b/>
          <w:smallCaps/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>Finalidad</w:t>
      </w:r>
    </w:p>
    <w:p w:rsidR="00AE0F34" w:rsidRPr="00C057D4" w:rsidRDefault="00AE0F34" w:rsidP="00AE0F34">
      <w:pPr>
        <w:pStyle w:val="Texto"/>
        <w:spacing w:after="160" w:line="240" w:lineRule="exact"/>
        <w:ind w:firstLine="289"/>
        <w:rPr>
          <w:szCs w:val="18"/>
          <w:lang w:val="es-MX"/>
        </w:rPr>
      </w:pPr>
      <w:r w:rsidRPr="00C057D4">
        <w:rPr>
          <w:szCs w:val="18"/>
          <w:lang w:val="es-MX"/>
        </w:rPr>
        <w:t>Su finalidad es mostrar los cambios o variaciones que sufrieron los distintos elementos que componen la Hacienda Pública de un ente público, entre el inicio y el final del periodo. Del análisis de los cambios y las variaciones se pueden detectar situaciones negativas y positivas acontecidas durante el ejercicio que pueden servir de base para tomar decisiones correctivas, o para aprovechar oportunidades y fortalezas detectadas del comportamiento de la Hacienda Pública.</w:t>
      </w:r>
    </w:p>
    <w:p w:rsidR="00AE0F34" w:rsidRPr="00C057D4" w:rsidRDefault="00AE0F34" w:rsidP="00AE0F34">
      <w:pPr>
        <w:pStyle w:val="Texto"/>
        <w:spacing w:after="160" w:line="240" w:lineRule="exact"/>
        <w:ind w:firstLine="289"/>
        <w:rPr>
          <w:szCs w:val="18"/>
          <w:lang w:val="es-MX"/>
        </w:rPr>
      </w:pPr>
      <w:r w:rsidRPr="00C057D4">
        <w:rPr>
          <w:szCs w:val="18"/>
          <w:lang w:val="es-MX"/>
        </w:rPr>
        <w:t>Para elaborar el Estado de Variación en la Hacienda Pública se utiliza el Estado de Actividades y el Estado de Situación Financiera, con corte en dos fechas, de modo que se puede determinar la respectiva variación. Este Estado debe abarcar las variaciones entre las fechas de inicio y cierre del periodo, aunque para efectos de análisis puede trabajarse con un lapso mayor.</w:t>
      </w:r>
    </w:p>
    <w:p w:rsidR="00AE0F34" w:rsidRPr="00C057D4" w:rsidRDefault="00AE0F34" w:rsidP="00AE0F34">
      <w:pPr>
        <w:pStyle w:val="Texto"/>
        <w:spacing w:after="160" w:line="240" w:lineRule="exact"/>
        <w:ind w:firstLine="289"/>
        <w:rPr>
          <w:szCs w:val="18"/>
          <w:lang w:val="es-MX"/>
        </w:rPr>
      </w:pPr>
      <w:r w:rsidRPr="00C057D4">
        <w:rPr>
          <w:szCs w:val="18"/>
          <w:lang w:val="es-MX"/>
        </w:rPr>
        <w:t>Dicho Estado debe ser analizado en conjunto con sus notas particulares, con el fin de obtener información relevante sobre el mismo que no surge de su estructura.</w:t>
      </w:r>
    </w:p>
    <w:p w:rsidR="00AE0F34" w:rsidRPr="00C057D4" w:rsidRDefault="00AE0F34" w:rsidP="00AE0F34">
      <w:pPr>
        <w:pStyle w:val="Texto"/>
        <w:spacing w:before="240" w:after="200"/>
        <w:ind w:firstLine="0"/>
        <w:jc w:val="center"/>
        <w:rPr>
          <w:b/>
          <w:smallCaps/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>Cuerpo del Formato</w:t>
      </w:r>
    </w:p>
    <w:p w:rsidR="00AE0F34" w:rsidRPr="00C057D4" w:rsidRDefault="00AE0F34" w:rsidP="00AE0F34">
      <w:pPr>
        <w:pStyle w:val="Texto"/>
        <w:spacing w:after="160" w:line="240" w:lineRule="exact"/>
        <w:ind w:firstLine="289"/>
        <w:rPr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>Rubros Contables</w:t>
      </w:r>
      <w:r w:rsidRPr="00C057D4">
        <w:rPr>
          <w:b/>
          <w:szCs w:val="18"/>
          <w:lang w:val="es-MX"/>
        </w:rPr>
        <w:t xml:space="preserve">: </w:t>
      </w:r>
      <w:r w:rsidRPr="00C057D4">
        <w:rPr>
          <w:szCs w:val="18"/>
          <w:lang w:val="es-MX"/>
        </w:rPr>
        <w:t>Muestra los rubros de la Hacienda Pública / Patrimonio, y su adecuada clasificación en contribuido o generado en el periodo que corresponda de forma comparativa, a partir de cifras acumuladas y cambios o variaciones del periodo.</w:t>
      </w:r>
    </w:p>
    <w:p w:rsidR="00AE0F34" w:rsidRPr="00C057D4" w:rsidRDefault="00AE0F34" w:rsidP="00AE0F34">
      <w:pPr>
        <w:pStyle w:val="Texto"/>
        <w:spacing w:after="160" w:line="240" w:lineRule="exact"/>
        <w:rPr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>Cifras Acumuladas</w:t>
      </w:r>
      <w:r w:rsidRPr="00C057D4">
        <w:rPr>
          <w:b/>
          <w:szCs w:val="18"/>
          <w:lang w:val="es-MX"/>
        </w:rPr>
        <w:t>:</w:t>
      </w:r>
      <w:r w:rsidRPr="00C057D4">
        <w:rPr>
          <w:szCs w:val="18"/>
          <w:lang w:val="es-MX"/>
        </w:rPr>
        <w:t xml:space="preserve"> Las cifras acumuladas del periodo anterior (20XN-1) consideran, en la </w:t>
      </w:r>
      <w:r w:rsidRPr="00C057D4">
        <w:rPr>
          <w:b/>
          <w:szCs w:val="18"/>
          <w:lang w:val="es-MX"/>
        </w:rPr>
        <w:t>Hacienda Pública / Patrimonio Contribuido</w:t>
      </w:r>
      <w:r w:rsidRPr="00C057D4">
        <w:rPr>
          <w:szCs w:val="18"/>
          <w:lang w:val="es-MX"/>
        </w:rPr>
        <w:t xml:space="preserve"> las Aportaciones, Donaciones de Capital y la Actualización de la Hacienda Pública/Patrimonio; en la </w:t>
      </w:r>
      <w:r w:rsidRPr="00C057D4">
        <w:rPr>
          <w:b/>
          <w:szCs w:val="18"/>
          <w:lang w:val="es-MX"/>
        </w:rPr>
        <w:t>Hacienda Pública / Patrimonio Generado de Ejercicios Anteriores</w:t>
      </w:r>
      <w:r w:rsidRPr="00C057D4">
        <w:rPr>
          <w:szCs w:val="18"/>
          <w:lang w:val="es-MX"/>
        </w:rPr>
        <w:t xml:space="preserve"> los Resultados de Ejercicios Anteriores, </w:t>
      </w:r>
      <w:proofErr w:type="spellStart"/>
      <w:r w:rsidRPr="00C057D4">
        <w:rPr>
          <w:szCs w:val="18"/>
          <w:lang w:val="es-MX"/>
        </w:rPr>
        <w:t>Revalúos</w:t>
      </w:r>
      <w:proofErr w:type="spellEnd"/>
      <w:r w:rsidRPr="00C057D4">
        <w:rPr>
          <w:szCs w:val="18"/>
          <w:lang w:val="es-MX"/>
        </w:rPr>
        <w:t xml:space="preserve">, Reservas y Rectificaciones de Resultados de Ejercicios Anteriores; en la </w:t>
      </w:r>
      <w:r w:rsidRPr="00C057D4">
        <w:rPr>
          <w:b/>
          <w:szCs w:val="18"/>
          <w:lang w:val="es-MX"/>
        </w:rPr>
        <w:t>Hacienda Pública / Patrimonio Generado del Ejercicio</w:t>
      </w:r>
      <w:r w:rsidRPr="00C057D4">
        <w:rPr>
          <w:szCs w:val="18"/>
          <w:lang w:val="es-MX"/>
        </w:rPr>
        <w:t xml:space="preserve"> el Resultado del Ejercicio (Ahorro/Desahorro); y en el </w:t>
      </w:r>
      <w:r w:rsidRPr="00C057D4">
        <w:rPr>
          <w:b/>
          <w:szCs w:val="18"/>
          <w:lang w:val="es-MX"/>
        </w:rPr>
        <w:t>Exceso o Insuficiencia en la Actualización de la Hacienda Pública/Patrimonio</w:t>
      </w:r>
      <w:r w:rsidRPr="00C057D4">
        <w:rPr>
          <w:szCs w:val="18"/>
          <w:lang w:val="es-MX"/>
        </w:rPr>
        <w:t xml:space="preserve"> el Resultado por Posición Monetaria y el Resultado por Tenencia de Activos no Monetarios.</w:t>
      </w:r>
    </w:p>
    <w:p w:rsidR="00AE0F34" w:rsidRPr="00C057D4" w:rsidRDefault="00AE0F34" w:rsidP="00AE0F34">
      <w:pPr>
        <w:pStyle w:val="Texto"/>
        <w:spacing w:after="160" w:line="240" w:lineRule="exact"/>
        <w:rPr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>Cifras de Cambios o Variaciones</w:t>
      </w:r>
      <w:r w:rsidRPr="00C057D4">
        <w:rPr>
          <w:b/>
          <w:szCs w:val="18"/>
          <w:lang w:val="es-MX"/>
        </w:rPr>
        <w:t>:</w:t>
      </w:r>
      <w:r w:rsidRPr="00C057D4">
        <w:rPr>
          <w:szCs w:val="18"/>
          <w:lang w:val="es-MX"/>
        </w:rPr>
        <w:t xml:space="preserve"> Las cifras de cambios o variaciones del periodo actual (20XN) consideran, en la </w:t>
      </w:r>
      <w:r w:rsidRPr="00C057D4">
        <w:rPr>
          <w:b/>
          <w:szCs w:val="18"/>
          <w:lang w:val="es-MX"/>
        </w:rPr>
        <w:t>Hacienda Pública / Patrimonio Contribuido</w:t>
      </w:r>
      <w:r w:rsidRPr="00C057D4">
        <w:rPr>
          <w:szCs w:val="18"/>
          <w:lang w:val="es-MX"/>
        </w:rPr>
        <w:t xml:space="preserve"> los cambios de Aportaciones, de Donaciones de Capital y de Actualización de la Hacienda Pública/Patrimonio; en la </w:t>
      </w:r>
      <w:r w:rsidRPr="00C057D4">
        <w:rPr>
          <w:b/>
          <w:szCs w:val="18"/>
          <w:lang w:val="es-MX"/>
        </w:rPr>
        <w:t>Hacienda Pública / Patrimonio Generado de Ejercicios Anteriores</w:t>
      </w:r>
      <w:r w:rsidRPr="00C057D4">
        <w:rPr>
          <w:szCs w:val="18"/>
          <w:lang w:val="es-MX"/>
        </w:rPr>
        <w:t xml:space="preserve"> la variación de Resultados de Ejercicios Anteriores; en la </w:t>
      </w:r>
      <w:r w:rsidRPr="00C057D4">
        <w:rPr>
          <w:b/>
          <w:szCs w:val="18"/>
          <w:lang w:val="es-MX"/>
        </w:rPr>
        <w:t>Hacienda Pública / Patrimonio Generado del Ejercicio</w:t>
      </w:r>
      <w:r w:rsidRPr="00C057D4">
        <w:rPr>
          <w:szCs w:val="18"/>
          <w:lang w:val="es-MX"/>
        </w:rPr>
        <w:t xml:space="preserve"> el Resultado del Ejercicio (Ahorro/Desahorro), las variaciones de </w:t>
      </w:r>
      <w:proofErr w:type="spellStart"/>
      <w:r w:rsidRPr="00C057D4">
        <w:rPr>
          <w:szCs w:val="18"/>
          <w:lang w:val="es-MX"/>
        </w:rPr>
        <w:t>Revalúos</w:t>
      </w:r>
      <w:proofErr w:type="spellEnd"/>
      <w:r w:rsidRPr="00C057D4">
        <w:rPr>
          <w:szCs w:val="18"/>
          <w:lang w:val="es-MX"/>
        </w:rPr>
        <w:t xml:space="preserve">, de Reservas y de Rectificaciones de Resultados de Ejercicios Anteriores, así como la disminución del resultado del ejercicio anterior (para evitar duplicidad del importe en sumatoria); y en el </w:t>
      </w:r>
      <w:r w:rsidRPr="00C057D4">
        <w:rPr>
          <w:b/>
          <w:szCs w:val="18"/>
          <w:lang w:val="es-MX"/>
        </w:rPr>
        <w:t>Exceso o Insuficiencia en la Actualización de la Hacienda Pública/Patrimonio</w:t>
      </w:r>
      <w:r w:rsidRPr="00C057D4">
        <w:rPr>
          <w:szCs w:val="18"/>
          <w:lang w:val="es-MX"/>
        </w:rPr>
        <w:t xml:space="preserve"> las diferencias del Resultado por Posición Monetaria y del Resultado por Tenencia de Activos no Monetarios.</w:t>
      </w:r>
    </w:p>
    <w:p w:rsidR="00AE0F34" w:rsidRPr="00C057D4" w:rsidRDefault="00AE0F34" w:rsidP="00AE0F34">
      <w:pPr>
        <w:pStyle w:val="Texto"/>
        <w:spacing w:after="160" w:line="240" w:lineRule="exact"/>
        <w:rPr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 xml:space="preserve">Periodo Actual (20XN): </w:t>
      </w:r>
      <w:r w:rsidRPr="00C057D4">
        <w:rPr>
          <w:szCs w:val="18"/>
          <w:lang w:val="es-MX"/>
        </w:rPr>
        <w:t>Muestra el saldo de cada uno de los rubros al periodo actual.</w:t>
      </w:r>
    </w:p>
    <w:p w:rsidR="00AE0F34" w:rsidRPr="00490655" w:rsidRDefault="00AE0F34" w:rsidP="00AE0F34">
      <w:pPr>
        <w:pStyle w:val="Texto"/>
        <w:spacing w:after="160" w:line="240" w:lineRule="exact"/>
        <w:ind w:firstLine="289"/>
        <w:rPr>
          <w:szCs w:val="18"/>
          <w:lang w:val="es-MX"/>
        </w:rPr>
      </w:pPr>
      <w:r w:rsidRPr="00C057D4">
        <w:rPr>
          <w:b/>
          <w:smallCaps/>
          <w:szCs w:val="18"/>
          <w:lang w:val="es-MX"/>
        </w:rPr>
        <w:t xml:space="preserve">Periodo Anterior (20XN-1): </w:t>
      </w:r>
      <w:r w:rsidRPr="00C057D4">
        <w:rPr>
          <w:szCs w:val="18"/>
          <w:lang w:val="es-MX"/>
        </w:rPr>
        <w:t>Muestra el saldo de cada uno de los rubros del periodo anterior.</w:t>
      </w:r>
    </w:p>
    <w:p w:rsidR="00AE0F34" w:rsidRPr="00490655" w:rsidRDefault="00AE0F34" w:rsidP="00AE0F34">
      <w:pPr>
        <w:pStyle w:val="Texto"/>
        <w:spacing w:after="60" w:line="220" w:lineRule="exact"/>
        <w:rPr>
          <w:b/>
          <w:smallCaps/>
          <w:szCs w:val="18"/>
          <w:lang w:val="es-MX"/>
        </w:rPr>
      </w:pPr>
      <w:r>
        <w:rPr>
          <w:b/>
          <w:smallCaps/>
          <w:szCs w:val="18"/>
          <w:lang w:val="es-MX"/>
        </w:rPr>
        <w:br w:type="page"/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64"/>
        <w:gridCol w:w="1097"/>
        <w:gridCol w:w="992"/>
        <w:gridCol w:w="993"/>
        <w:gridCol w:w="1134"/>
        <w:gridCol w:w="833"/>
      </w:tblGrid>
      <w:tr w:rsidR="00AE0F34" w:rsidRPr="00B93751" w:rsidTr="0046261D">
        <w:trPr>
          <w:trHeight w:val="20"/>
          <w:jc w:val="center"/>
        </w:trPr>
        <w:tc>
          <w:tcPr>
            <w:tcW w:w="89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40" w:after="4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lastRenderedPageBreak/>
              <w:t>Nombre del Ente Público</w:t>
            </w:r>
          </w:p>
          <w:p w:rsidR="00AE0F34" w:rsidRPr="00B93751" w:rsidRDefault="00AE0F34" w:rsidP="0046261D">
            <w:pPr>
              <w:pStyle w:val="Texto"/>
              <w:spacing w:before="40" w:after="4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Estado de Variación en la Hacienda Pública</w:t>
            </w:r>
          </w:p>
          <w:p w:rsidR="00AE0F34" w:rsidRPr="00B93751" w:rsidRDefault="00AE0F34" w:rsidP="0046261D">
            <w:pPr>
              <w:pStyle w:val="Texto"/>
              <w:spacing w:before="40" w:after="4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Del XXXX al XXXX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Contribuido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de Ejercicios Anteriores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del Ejercicio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Exceso o Insuficiencia en la Actualización de la Hacienda Pública / Patrimonio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Total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Contribuido Neto de 20XN-1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Aportaciones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Donaciones de Capital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Actualización de la Hacienda Pública/Patrimonio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Neto de 20XN-1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del Ejercicio (Ahorro/Desahorro)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 Ejercicios Anteriores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proofErr w:type="spellStart"/>
            <w:r w:rsidRPr="00B93751">
              <w:rPr>
                <w:bCs/>
                <w:sz w:val="12"/>
                <w:szCs w:val="12"/>
                <w:lang w:eastAsia="es-MX"/>
              </w:rPr>
              <w:t>Revalúos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Reservas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Rectificaciones de Resultados de Ejercicios Anteriores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Exceso o Insuficiencia en la Actualización de la Hacienda Pública / Patrimonio Neto de 20XN-1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Posición Monetaria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Tenencia de Activos no Monetarios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329"/>
          <w:jc w:val="center"/>
        </w:trPr>
        <w:tc>
          <w:tcPr>
            <w:tcW w:w="386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left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Neto Final de 20XN-1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Cambios en la Hacienda Pública / Patrimonio Contribuido Neto de 20XN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Aportaciones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Donaciones de Capital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Actualización de la Hacienda Pública/Patrimonio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Variaciones de la Hacienda Pública / Patrimonio Generado Neto de 20XN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del Ejercicio (Ahorro/Desahorro)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 Ejercicios Anteriores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proofErr w:type="spellStart"/>
            <w:r w:rsidRPr="00B93751">
              <w:rPr>
                <w:bCs/>
                <w:sz w:val="12"/>
                <w:szCs w:val="12"/>
                <w:lang w:eastAsia="es-MX"/>
              </w:rPr>
              <w:t>Revalúos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Reservas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Rectificaciones de Resultados de Ejercicios Anteriores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Cambios en el Exceso o Insuficiencia en la Actualización de la Hacienda Pública / Patrimonio Neto de 20XN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Posición Monetaria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42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Tenencia de Activos no Monetarios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864" w:type="dxa"/>
            <w:shd w:val="clear" w:color="auto" w:fill="auto"/>
            <w:noWrap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331"/>
          <w:jc w:val="center"/>
        </w:trPr>
        <w:tc>
          <w:tcPr>
            <w:tcW w:w="386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left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Neto Final de 20XN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</w:tbl>
    <w:p w:rsidR="00AE0F34" w:rsidRPr="00490655" w:rsidRDefault="00AE0F34" w:rsidP="00AE0F34">
      <w:pPr>
        <w:pStyle w:val="Texto"/>
        <w:tabs>
          <w:tab w:val="left" w:pos="6915"/>
          <w:tab w:val="left" w:pos="7882"/>
        </w:tabs>
        <w:spacing w:before="12" w:after="10" w:line="240" w:lineRule="auto"/>
        <w:ind w:firstLine="0"/>
        <w:jc w:val="left"/>
        <w:rPr>
          <w:b/>
          <w:bCs/>
          <w:sz w:val="14"/>
          <w:szCs w:val="14"/>
          <w:lang w:eastAsia="es-MX"/>
        </w:rPr>
      </w:pPr>
    </w:p>
    <w:p w:rsidR="00AE0F34" w:rsidRPr="00C057D4" w:rsidRDefault="00AE0F34" w:rsidP="00AE0F34">
      <w:pPr>
        <w:pStyle w:val="Texto"/>
        <w:spacing w:after="100" w:line="280" w:lineRule="exact"/>
        <w:ind w:firstLine="284"/>
        <w:jc w:val="center"/>
        <w:rPr>
          <w:b/>
        </w:rPr>
      </w:pPr>
      <w:r w:rsidRPr="00C057D4">
        <w:rPr>
          <w:b/>
        </w:rPr>
        <w:t>Instructivo de llenado del Estado de Variación en la Hacienda Púbica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  <w:jc w:val="left"/>
        <w:rPr>
          <w:b/>
        </w:rPr>
      </w:pPr>
      <w:r w:rsidRPr="00C057D4">
        <w:rPr>
          <w:b/>
        </w:rPr>
        <w:t>Recomendaciones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t>Para elaborar el Estado de Variación en la Hacienda Pública, las cifras de los saldos del periodo anterior (20XN-1) y de las variaciones del periodo actual (20XN), de cada uno de los rubros de Hacienda Pública/Patrimonio, deben coincidir con las que se muestran en el Estado de Situación Financiera y el Estado de Cambios en la Situación Financiera.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t>Los importes que se consideren en los rubros correspondientes al periodo actual (20XN) deberán reflejar únicamente las diferencias del año y no considerar saldos acumulados.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t xml:space="preserve">En la </w:t>
      </w:r>
      <w:r w:rsidRPr="00C057D4">
        <w:rPr>
          <w:i/>
        </w:rPr>
        <w:t>columna</w:t>
      </w:r>
      <w:r w:rsidRPr="00C057D4">
        <w:t xml:space="preserve"> de </w:t>
      </w:r>
      <w:r w:rsidRPr="00C057D4">
        <w:rPr>
          <w:i/>
        </w:rPr>
        <w:t>Hacienda Pública/Patrimonio Contribuido</w:t>
      </w:r>
      <w:r w:rsidRPr="00C057D4">
        <w:t xml:space="preserve"> se debe considerar lo siguiente: en el periodo anterior (20XN-1) los saldos y en el periodo actual (20XN) las variaciones, de los rubros “Aportaciones”, “Donaciones de Capital” y “Actualización de la Hacienda Pública/Patrimonio”.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t xml:space="preserve">En la </w:t>
      </w:r>
      <w:r w:rsidRPr="00C057D4">
        <w:rPr>
          <w:i/>
        </w:rPr>
        <w:t>columna</w:t>
      </w:r>
      <w:r w:rsidRPr="00C057D4">
        <w:t xml:space="preserve"> de </w:t>
      </w:r>
      <w:r w:rsidRPr="00C057D4">
        <w:rPr>
          <w:i/>
        </w:rPr>
        <w:t>Hacienda Pública/Patrimonio Generado de Ejercicios Anteriores</w:t>
      </w:r>
      <w:r w:rsidRPr="00C057D4">
        <w:t xml:space="preserve"> se debe considerar lo siguiente: en el periodo anterior (20XN-1) los saldos de los rubros “Resultados de Ejercicios Anteriores”, “</w:t>
      </w:r>
      <w:proofErr w:type="spellStart"/>
      <w:r w:rsidRPr="00C057D4">
        <w:t>Revalúos</w:t>
      </w:r>
      <w:proofErr w:type="spellEnd"/>
      <w:r w:rsidRPr="00C057D4">
        <w:t>”, “Reservas” y “Rectificaciones de Resultados de Ejercicios Anteriores”, y en el periodo actual (20XN) la variación del rubro de Resultados de Ejercicios Anteriores.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lastRenderedPageBreak/>
        <w:t xml:space="preserve">En la </w:t>
      </w:r>
      <w:r w:rsidRPr="00C057D4">
        <w:rPr>
          <w:i/>
        </w:rPr>
        <w:t>columna</w:t>
      </w:r>
      <w:r w:rsidRPr="00C057D4">
        <w:t xml:space="preserve"> de </w:t>
      </w:r>
      <w:r w:rsidRPr="00C057D4">
        <w:rPr>
          <w:i/>
        </w:rPr>
        <w:t>Hacienda Pública/Patrimonio Generado del Ejercicio</w:t>
      </w:r>
      <w:r w:rsidRPr="00C057D4">
        <w:t xml:space="preserve"> se debe considerar lo siguiente: en el periodo anterior (20XN-1) el saldo del Resultado del Ejercicio (Ahorro/Desahorro) y en el periodo actual (20XN) las variaciones de los rubros “</w:t>
      </w:r>
      <w:proofErr w:type="spellStart"/>
      <w:r w:rsidRPr="00C057D4">
        <w:t>Revalúos</w:t>
      </w:r>
      <w:proofErr w:type="spellEnd"/>
      <w:r w:rsidRPr="00C057D4">
        <w:t>”, “Reservas” y “Rectificaciones de Resultados de Ejercicios Anteriores”, asimismo deberá incorporar el saldo con la naturaleza contraria del rubro “Resultados del Ejercicio (Ahorro/Desahorro)” del periodo anterior.</w:t>
      </w:r>
    </w:p>
    <w:p w:rsidR="00AE0F34" w:rsidRPr="00C057D4" w:rsidRDefault="00AE0F34" w:rsidP="00AE0F34">
      <w:pPr>
        <w:pStyle w:val="Texto"/>
        <w:spacing w:after="100" w:line="280" w:lineRule="exact"/>
        <w:ind w:firstLine="284"/>
      </w:pPr>
      <w:r w:rsidRPr="00C057D4">
        <w:t xml:space="preserve">En la </w:t>
      </w:r>
      <w:r w:rsidRPr="00C057D4">
        <w:rPr>
          <w:i/>
        </w:rPr>
        <w:t>columna</w:t>
      </w:r>
      <w:r w:rsidRPr="00C057D4">
        <w:t xml:space="preserve"> de </w:t>
      </w:r>
      <w:r w:rsidRPr="00C057D4">
        <w:rPr>
          <w:i/>
        </w:rPr>
        <w:t>Exceso o Insuficiencia en la Actualización de la Hacienda Pública/Patrimonio</w:t>
      </w:r>
      <w:r w:rsidRPr="00C057D4">
        <w:t xml:space="preserve"> se debe considerar lo siguiente: en el periodo anterior (20XN-1) los saldos y en el periodo actual (20XN) las variaciones, de los rubros “Resultado por Posición Monetaria” y “Resultado por Tenencia de Activos no Monetarios”.</w:t>
      </w:r>
    </w:p>
    <w:p w:rsidR="00AE0F34" w:rsidRPr="00490655" w:rsidRDefault="00AE0F34" w:rsidP="00AE0F34">
      <w:pPr>
        <w:pStyle w:val="Texto"/>
        <w:spacing w:after="100" w:line="280" w:lineRule="exact"/>
        <w:ind w:firstLine="284"/>
      </w:pPr>
      <w:r w:rsidRPr="00C057D4">
        <w:t xml:space="preserve">En la </w:t>
      </w:r>
      <w:r w:rsidRPr="00C057D4">
        <w:rPr>
          <w:i/>
        </w:rPr>
        <w:t>columna</w:t>
      </w:r>
      <w:r w:rsidRPr="00C057D4">
        <w:t xml:space="preserve"> de </w:t>
      </w:r>
      <w:r w:rsidRPr="00C057D4">
        <w:rPr>
          <w:i/>
        </w:rPr>
        <w:t>Total</w:t>
      </w:r>
      <w:r w:rsidRPr="00C057D4">
        <w:t xml:space="preserve"> se suman las cifras por fila, asimismo deben coincidir las cifras de “Hacienda Pública / Patrimonio Neto Final 20XN-1” y “Hacienda Pública / Patrimonio Neto Final de 20XN” según corresponda, con el “Total Hacienda Pública/Patrimonio” de los periodos 20XN-1 y 20XN del Estado de Situación Financiera.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47"/>
        <w:gridCol w:w="1134"/>
        <w:gridCol w:w="1089"/>
        <w:gridCol w:w="1134"/>
        <w:gridCol w:w="1179"/>
        <w:gridCol w:w="948"/>
      </w:tblGrid>
      <w:tr w:rsidR="00AE0F34" w:rsidRPr="00B93751" w:rsidTr="0046261D">
        <w:trPr>
          <w:trHeight w:val="20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Nombre del Ente Público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Estado de Variación en la Hacienda Pública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Del XXXX al XXXX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Contribuido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de Ejercicios Anteriores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del Ejercicio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Exceso o Insuficiencia en la Actualización de la Hacienda Pública / Patrimonio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center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Total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Contribuido Neto 20XN-1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a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(1+2+3)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Aportaciones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Donaciones de Capital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Actualización de la Hacienda Pública/Patrimonio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Generado Neto 20XN-1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b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(4+5+6+7)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c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(8)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del Ejercicio (Ahorro/Desahorro)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8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 Ejercicios Anteriores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proofErr w:type="spellStart"/>
            <w:r w:rsidRPr="00B93751">
              <w:rPr>
                <w:bCs/>
                <w:sz w:val="12"/>
                <w:szCs w:val="12"/>
                <w:lang w:eastAsia="es-MX"/>
              </w:rPr>
              <w:t>Revalúos</w:t>
            </w:r>
            <w:proofErr w:type="spellEnd"/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Reservas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Rectificaciones de Resultados de Ejercicios Anteriores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Exceso o Insuficiencia en la Actualización de la Hacienda Pública/Patrimonio Neto  20XN-1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d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(9+10)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Posición Monetaria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9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Tenencia de Activos no Monetarios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10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429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left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Neto Final 20XN-1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e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(a)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f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g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(c)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h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(d)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Cambios en la Hacienda Pública / Patrimonio Contribuido Neto 20XN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i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(11+12+13)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Aportaciones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11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Donaciones de Capital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12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Actualización de la Hacienda Pública/Patrimonio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13</w:t>
            </w:r>
          </w:p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10" w:after="1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Variaciones de la Hacienda Pública / Patrimonio Generado Neto 20XN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j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k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(15+16+17+18+19)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del Ejercicio (Ahorro/Desahorro)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15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Solo del periodo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Resultados de Ejercicios Anteriores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14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16</w:t>
            </w:r>
          </w:p>
          <w:p w:rsidR="00AE0F34" w:rsidRPr="00B93751" w:rsidRDefault="00AE0F34" w:rsidP="0046261D">
            <w:pPr>
              <w:pStyle w:val="Texto"/>
              <w:spacing w:after="0" w:line="10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Resultado del ejercicio del periodo anterior con naturaleza contraria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proofErr w:type="spellStart"/>
            <w:r w:rsidRPr="00B93751">
              <w:rPr>
                <w:bCs/>
                <w:sz w:val="12"/>
                <w:szCs w:val="12"/>
                <w:lang w:eastAsia="es-MX"/>
              </w:rPr>
              <w:t>Revalúos</w:t>
            </w:r>
            <w:proofErr w:type="spellEnd"/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17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Reservas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18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179" w:type="dxa"/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Rectificaciones de Resultados de Ejercicios Anteriores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19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Cambios en el Exceso o Insuficiencia en la Actualización de la Hacienda Pública/Patrimonio Neto 20XN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l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Suma (20+21)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Posición Monetaria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20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119" w:firstLine="0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Cs/>
                <w:sz w:val="12"/>
                <w:szCs w:val="12"/>
                <w:lang w:eastAsia="es-MX"/>
              </w:rPr>
              <w:t>Resultado por Tenencia de Activos no Monetarios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sz w:val="10"/>
                <w:szCs w:val="10"/>
                <w:lang w:eastAsia="es-MX"/>
              </w:rPr>
              <w:t>21</w:t>
            </w:r>
          </w:p>
          <w:p w:rsidR="00AE0F34" w:rsidRPr="00B93751" w:rsidRDefault="00AE0F34" w:rsidP="0046261D">
            <w:pPr>
              <w:pStyle w:val="Texto"/>
              <w:spacing w:after="0" w:line="120" w:lineRule="exact"/>
              <w:ind w:left="-57" w:right="-57" w:firstLine="0"/>
              <w:jc w:val="center"/>
              <w:rPr>
                <w:b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Variación del periodo</w:t>
            </w:r>
          </w:p>
        </w:tc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  <w:tr w:rsidR="00AE0F34" w:rsidRPr="00B93751" w:rsidTr="0046261D">
        <w:trPr>
          <w:trHeight w:val="20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60" w:lineRule="exact"/>
              <w:ind w:firstLine="0"/>
              <w:rPr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AE0F34" w:rsidRPr="00B93751" w:rsidTr="0046261D">
        <w:trPr>
          <w:trHeight w:val="336"/>
          <w:jc w:val="center"/>
        </w:trPr>
        <w:tc>
          <w:tcPr>
            <w:tcW w:w="3447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firstLine="0"/>
              <w:jc w:val="left"/>
              <w:rPr>
                <w:b/>
                <w:bCs/>
                <w:sz w:val="12"/>
                <w:szCs w:val="12"/>
                <w:lang w:eastAsia="es-MX"/>
              </w:rPr>
            </w:pPr>
            <w:r w:rsidRPr="00B93751">
              <w:rPr>
                <w:b/>
                <w:bCs/>
                <w:sz w:val="12"/>
                <w:szCs w:val="12"/>
                <w:lang w:eastAsia="es-MX"/>
              </w:rPr>
              <w:t>Hacienda Pública / Patrimonio Neto Final 20XN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m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</w:t>
            </w:r>
            <w:proofErr w:type="spellStart"/>
            <w:r w:rsidRPr="00B93751">
              <w:rPr>
                <w:b/>
                <w:bCs/>
                <w:sz w:val="10"/>
                <w:szCs w:val="10"/>
                <w:lang w:eastAsia="es-MX"/>
              </w:rPr>
              <w:t>e+i</w:t>
            </w:r>
            <w:proofErr w:type="spellEnd"/>
            <w:r w:rsidRPr="00B93751">
              <w:rPr>
                <w:b/>
                <w:bCs/>
                <w:sz w:val="10"/>
                <w:szCs w:val="10"/>
                <w:lang w:eastAsia="es-MX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n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</w:t>
            </w:r>
            <w:proofErr w:type="spellStart"/>
            <w:r w:rsidRPr="00B93751">
              <w:rPr>
                <w:b/>
                <w:bCs/>
                <w:sz w:val="10"/>
                <w:szCs w:val="10"/>
                <w:lang w:eastAsia="es-MX"/>
              </w:rPr>
              <w:t>f+j</w:t>
            </w:r>
            <w:proofErr w:type="spellEnd"/>
            <w:r w:rsidRPr="00B93751">
              <w:rPr>
                <w:b/>
                <w:bCs/>
                <w:sz w:val="10"/>
                <w:szCs w:val="10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ñ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</w:t>
            </w:r>
            <w:proofErr w:type="spellStart"/>
            <w:r w:rsidRPr="00B93751">
              <w:rPr>
                <w:b/>
                <w:bCs/>
                <w:sz w:val="10"/>
                <w:szCs w:val="10"/>
                <w:lang w:eastAsia="es-MX"/>
              </w:rPr>
              <w:t>g+k</w:t>
            </w:r>
            <w:proofErr w:type="spellEnd"/>
            <w:r w:rsidRPr="00B93751">
              <w:rPr>
                <w:b/>
                <w:bCs/>
                <w:sz w:val="10"/>
                <w:szCs w:val="10"/>
                <w:lang w:eastAsia="es-MX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o</w:t>
            </w:r>
          </w:p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B93751">
              <w:rPr>
                <w:b/>
                <w:bCs/>
                <w:sz w:val="10"/>
                <w:szCs w:val="10"/>
                <w:lang w:eastAsia="es-MX"/>
              </w:rPr>
              <w:t>Suma (</w:t>
            </w:r>
            <w:proofErr w:type="spellStart"/>
            <w:r w:rsidRPr="00B93751">
              <w:rPr>
                <w:b/>
                <w:bCs/>
                <w:sz w:val="10"/>
                <w:szCs w:val="10"/>
                <w:lang w:eastAsia="es-MX"/>
              </w:rPr>
              <w:t>h+l</w:t>
            </w:r>
            <w:proofErr w:type="spellEnd"/>
            <w:r w:rsidRPr="00B93751">
              <w:rPr>
                <w:b/>
                <w:bCs/>
                <w:sz w:val="10"/>
                <w:szCs w:val="10"/>
                <w:lang w:eastAsia="es-MX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E0F34" w:rsidRPr="00B93751" w:rsidRDefault="00AE0F34" w:rsidP="0046261D">
            <w:pPr>
              <w:pStyle w:val="Texto"/>
              <w:spacing w:before="20" w:after="20" w:line="120" w:lineRule="exact"/>
              <w:ind w:left="-57" w:right="-57" w:firstLine="0"/>
              <w:jc w:val="center"/>
              <w:rPr>
                <w:b/>
                <w:sz w:val="12"/>
                <w:szCs w:val="12"/>
                <w:lang w:eastAsia="es-MX"/>
              </w:rPr>
            </w:pPr>
            <w:r w:rsidRPr="00B93751">
              <w:rPr>
                <w:b/>
                <w:sz w:val="12"/>
                <w:szCs w:val="12"/>
                <w:lang w:eastAsia="es-MX"/>
              </w:rPr>
              <w:t>Suma fila</w:t>
            </w:r>
          </w:p>
        </w:tc>
      </w:tr>
    </w:tbl>
    <w:p w:rsidR="00A755B5" w:rsidRPr="00AE0F34" w:rsidRDefault="00A755B5" w:rsidP="00AE0F34"/>
    <w:sectPr w:rsidR="00A755B5" w:rsidRPr="00AE0F34" w:rsidSect="00AE0F34">
      <w:pgSz w:w="12240" w:h="15840"/>
      <w:pgMar w:top="1276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55"/>
    <w:rsid w:val="004C7155"/>
    <w:rsid w:val="007077C2"/>
    <w:rsid w:val="00A755B5"/>
    <w:rsid w:val="00AE0F34"/>
    <w:rsid w:val="00C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FE253-EE45-4844-9730-99E0104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C715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C715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Teresita Quezada Quintero</dc:creator>
  <cp:keywords/>
  <dc:description/>
  <cp:lastModifiedBy>Viridiana Olivares Rivas</cp:lastModifiedBy>
  <cp:revision>2</cp:revision>
  <dcterms:created xsi:type="dcterms:W3CDTF">2018-01-12T20:50:00Z</dcterms:created>
  <dcterms:modified xsi:type="dcterms:W3CDTF">2018-01-12T20:50:00Z</dcterms:modified>
</cp:coreProperties>
</file>